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PROFESSOR: FABRICIO COELHO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DISCIPLINA: FILOSOFIA DA LINGUAGEM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TEMÁTICA DA AULA: A QUESTÃO DO SUJEITO(ANTROPOS) NO TRACTATUS DE WITTGENSTEIN.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Leitura Dirigida e Exercício Avaliativo II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Tractatus Logico Philosophicus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ATENÇÃO PARA OS AVISOS.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OS DISCENTES DEVERÃO ME ENTREGAR ESTE EXERCÍCIO ATÉ O DIA 06/O4/20.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RECEBEREI OS EXERCÍCIOS PELO “GOOGLE CLASSROOM” (GOOGLE SALA DE AULA)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DEVERÃO ENTRAR NO  “GOOGLE CLASSROOM”(PODEM ENTRAR PELO GMAIL, OU AINDA BAIXAR O APLICATIVO) E DIGITAR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CÓDIGO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DA “TURMA DE FILOSOFIA DA LINGUAGEM”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0"/>
          <w:szCs w:val="40"/>
          <w:rtl w:val="0"/>
        </w:rPr>
        <w:t xml:space="preserve">CÓDIGO: mt5piaj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Partindo do pressuposto que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lógica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Wittgenstein é um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constructo metafísico”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opera, organiza e constitui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mundo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(realidade), e que esta lógica é espelhada na proposição, e a partir disto ganha sentido - podemos conferir na proposição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4.2: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sentido de uma proposição é sua concordância ou sua discordância com a possibilidade da subsistência ou não-subsistência de estados de coisas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(pg.82) - , devemos a partir deste momento compreender o que é este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constructo metafísico”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as implicações metodológicas que surgem do mesmo. Para tanto, também devemos levar em conta o que já foi dito pelo filósofo do Tractatus na proposição ““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4.121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proposição não pode representar a forma lógica, esta espelha-se naquela. Não é possível representar o que se espelha na linguagem. O que se exprime na linguagem não podemos expressar por meio dela. A proposição mostra a forma lógica da realidade. Ela a exibe.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”(pg. 77).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Comecemos por analisar as proposições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5.552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"experiência"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que precisamos para compreender a lógica, não é a de que algo está do seguinte modo, mas a de que algo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e;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esta, porém,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não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é uma experiência.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 lógica está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antes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de qualquer experiência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— de que algo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é assim.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Desse modo está antes do Como mas não antes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 Que.”,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5.5521.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 se não fôsse assim como poderíamos aplicar a lógica ? Poder-se-ia dizer: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 houvesse uma lógica ainda que não houvesse um mundo, como poderia haver uma lógica já que há um mundo ?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ambas da página 109.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Wittgenstein chama a atenção para a constatação de que a lógica não é algo “experenciável”, esta já está antes de toda e qualquer experiência, é o que fundamenta em ultima análise uma experiência sobre o mundo. Daí a asserção interrogativa da proposição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5.5521.[...]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se houvesse uma lógica ainda que não houvesse um mundo, como poderia haver uma lógica já que há um mundo ?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Prosseguindo em nossa análise da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lógica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seu espelhamento na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proposição,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temos a seguinte constatação por parte de Wittgenstein: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“6.1. As proposições da lógica são tautologias.” (pg. 113)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“6.11. As proposições da lógica, portanto, não dizem nada.” (São as proposições analíticas.) (pg.114)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“6.12. As proposições da lógica são tautologias; isto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mostra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 propriedades (lógicas) formais da linguagem, do mundo[...].” (pg. 114).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proposições que se arrogam, ousam dizer algo a respeito do que seja 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lógica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são tautologias, ou seja, são redundâncias que nada mais apresentam do que propriedades formais (estruturas) da linguagem. A lógica mesma não pode ser exibida em uma proposição, ela é apenas espelhada, re-presentada. Por exibir as propriedades formais, ou seja, o modo como se estrutura uma proposição a partir do espelhamento da forma lógica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proposição, estas proposições são chamadas analíticas. Isto fica claro na proposição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6.13.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lógica não é teoria, mas figuração especular do 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 lógica é transcendental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.”(pg. 120). Não é teoria porque todas as vezes que incorremos no erro de dissertamos algo a respeito da mesma, resultamos em tautologias, por isso a lógica é apenas espelhada na proposição, figura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proposição, como um reflexo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proposição. A lógica é transcendental justamente por se configurar em uma instância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metafísica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daí recordarmos o que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filósofo falara acima na proposição 5.552 sobre a mesma não ser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“experenciável”.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Wittgenstein conclui 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“As proposições lógicas descrevem os andaimes do mundo, ou melhor, os representam. Não "tratam" de nada. Pressupõem que os nomes possuam denotação e as proposições elementares, sentido. E tal é sua vinculação com o mundo. É claro que isso deve indicar alguma coisa a respeito do mundo, que certas vinculações de símbolos — que essencialmente possuem um caráter determinado — são tautologias. E aqui está o que é decisivo. Dissemos que, nos símbolos que usamos, muito era arbitrário, muito não o era. E na lógica apenas isso se exprime;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que quer dizer que na lógica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nós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não exprimimos o que queremos com a ajuda de signos, mas que a natureza dos signos naturalmente necessários, na lógica, asserta-se a si própria. Ao conhecermos a sintaxe lógica de uma linguagem simbólica qualquer, já estão dadas tidas as proposições da lógica.” (pg. 118)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“6.1224. Agora se torna claro porque a lógica foi chamada teoria das formas e das inferências. (pg.117).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partir destes desenvolvimentos podemos, com segurança, visualizar o que Wittgenstein entende por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sujeito(antropos).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Analisemos as proposições abaixo: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“5.61.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 lógica preenche o mundo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os limites do mundo são também seus limites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[...]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Não podemos pensar o que não podemos pensar, por isso também não podemos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dizer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 que não podemos pensar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.” (pg.111)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“5.62. Esta observação dá a chave para decidir da questão: até onde o solipsismo é uma verdade.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 que o solipsismo nomeadamente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acha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é inteiramente correto, mas isto se mostra em vez de deixar-se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dizer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Que o mundo é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meu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mundo, isto se mostra porque os limites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linguagem (da linguagem que somente eu compreendo) denotam os limites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meu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mundo.”(pg. 111)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 lógica - o organizador de como as coisas se relacionam - que constitui mundo   é o limite extremo, a instância máxima para podermos pensar o que quer seja a respeito do mesmo. Lembremo-nos que 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3. Pensamento é a figuração lógica dos fatos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exibidos na proposição. Daí a afirmação categórica de Wittgenstein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Não podemos pensar o que não podemos pensar, por isso também não podemos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dizer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que não podemos pensar.”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poder dizer o que não podemos pensar é não poder fazer figurações, não poder exibir na proposição uma situação  que não exiba coisas se relacionando umas com as outras. Se este for o caso, estamos diante de proposições sem sentido, que podemos pensa-la. Exemplo: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“Deus é Amor”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 é, segundo o filósofo do Tractatus, a constatação essencial de que o solipsismo não se sustenta. O pensamento é uma relação intrínseca de como o operador que constitui mundo, que relaciona  coisas umas com as outras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lógica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 é espelhado na proposição. O pensamento não seria oriundo de uma consciência absoluta produtora de conceitos, apartada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(solipsismo) . Além do mais, mundo para o sujeito seria os limites de sua própria linguagem, ou seja,  como a sua linguagem (signo proposicional) conseguiria captar a situação, o horizonte em que as coisas estariam se relacionando. Exemplo: se dois indivíduos olhassem para uma mesma situação relacional de coisas, no nosso caso hipotético, uma mesa, uma mochila, uma apostila e uma lapiseira dentro de uma sala de aula, estes indivíduos poderiam representar este cenário de dois modos: 1- mesa do professor; 2- mesa de estudos. Esta diferença se daria por causa da representação, através do signo proposicional, da lógica que relaciona estes objetos entre si. Daí Wittgenstein afirmar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5.631.Sou meu mundo(microcosmos)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e concluir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5.632. O sujeito representante e pensante não existe. Se escrevesse um livro: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 mundo tal como encontro,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deveria reportar-me a meu corpo e dizer quais membros estão sob minha vontade e quais não estão, etc. — isto é particularmente um método para isolar o sujeito, ou melhor, para indicar que não existe sujeito num sentido importante: deles sozinho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é possível tratar neste livro.”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o que seria então o sujeito?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EXERCÍCIO AVALIATIVO: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 proposições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5.621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mundo e a vida são um só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e “5.632.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sujeito não pertence ao mundo mas é limite dele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, ambas da página 111, Wittgenstein coloca o sujeito (antropos) em uma situação, no mínimo, incômoda. Se a vida é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é, em última análise, coisas se relacionando, e se o sujeito não pertence ao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porém é limite dele, como poderemos identificar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status ontológico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sujeito?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Responda a esse questionamento se apoiando no que discorremos até aqui e, sobretudo, com o auxilio das proposições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5.64. aqui se vê que o solipsismo, levado às últimas conseqüências, coincide com o realismo puro. O eu do solipsismo reduz-se a um ponto sem extensão, a realidade permanecendo coordenada a ele.”(pg. 112) 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5.641. Tem, portanto, sentido real falar-se, na filosofia, do eu de um ponto de vista não-psicológico. O eu penetra na filosofia porque o "mundo é meu mundo". O eu filosófico não é o homem, nem o corpo humano, nem a alma humana de que se ocupa a psicologia, mas o sujeito metafísico, o limite — não sendo pois parte do mundo.”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(pg.112)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