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DF38" w14:textId="77777777" w:rsidR="00233251" w:rsidRPr="00233251" w:rsidRDefault="00233251" w:rsidP="00233251">
      <w:pPr>
        <w:spacing w:after="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noProof/>
          <w:color w:val="000000"/>
          <w:sz w:val="24"/>
          <w:lang w:eastAsia="pt-BR"/>
        </w:rPr>
        <w:drawing>
          <wp:inline distT="0" distB="0" distL="0" distR="0" wp14:anchorId="5A900BE9" wp14:editId="6325DBE9">
            <wp:extent cx="720090" cy="878027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7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4A53" w14:textId="77777777" w:rsidR="00233251" w:rsidRPr="00233251" w:rsidRDefault="00233251" w:rsidP="00233251">
      <w:pPr>
        <w:keepNext/>
        <w:keepLines/>
        <w:spacing w:after="9" w:line="251" w:lineRule="auto"/>
        <w:jc w:val="center"/>
        <w:outlineLvl w:val="1"/>
        <w:rPr>
          <w:rFonts w:ascii="Arial" w:eastAsia="Arial" w:hAnsi="Arial" w:cs="Arial"/>
          <w:b/>
          <w:color w:val="000000"/>
          <w:sz w:val="24"/>
          <w:lang w:eastAsia="pt-BR"/>
        </w:rPr>
      </w:pPr>
      <w:bookmarkStart w:id="0" w:name="_Toc45921262"/>
      <w:r w:rsidRPr="00233251">
        <w:rPr>
          <w:rFonts w:ascii="Arial" w:eastAsia="Arial" w:hAnsi="Arial" w:cs="Arial"/>
          <w:b/>
          <w:color w:val="000000"/>
          <w:sz w:val="24"/>
          <w:lang w:eastAsia="pt-BR"/>
        </w:rPr>
        <w:t>FACULDADE CATÓLICA DE BELÉM</w:t>
      </w:r>
      <w:bookmarkEnd w:id="0"/>
    </w:p>
    <w:p w14:paraId="120C29F9" w14:textId="0B4BC7A5" w:rsidR="00233251" w:rsidRPr="00233251" w:rsidRDefault="00233251" w:rsidP="00233251">
      <w:pPr>
        <w:keepNext/>
        <w:keepLines/>
        <w:spacing w:after="9" w:line="251" w:lineRule="auto"/>
        <w:jc w:val="center"/>
        <w:outlineLvl w:val="1"/>
        <w:rPr>
          <w:rFonts w:ascii="Arial" w:eastAsia="Arial" w:hAnsi="Arial" w:cs="Arial"/>
          <w:b/>
          <w:color w:val="000000"/>
          <w:sz w:val="24"/>
          <w:lang w:eastAsia="pt-BR"/>
        </w:rPr>
      </w:pPr>
      <w:bookmarkStart w:id="1" w:name="_Toc45921114"/>
      <w:bookmarkStart w:id="2" w:name="_Toc45921263"/>
      <w:r w:rsidRPr="00233251">
        <w:rPr>
          <w:rFonts w:ascii="Arial" w:eastAsia="Arial" w:hAnsi="Arial" w:cs="Arial"/>
          <w:b/>
          <w:color w:val="000000"/>
          <w:sz w:val="24"/>
          <w:lang w:eastAsia="pt-BR"/>
        </w:rPr>
        <w:t>CURSO DE FILOSOFIA</w:t>
      </w:r>
      <w:bookmarkEnd w:id="1"/>
      <w:bookmarkEnd w:id="2"/>
    </w:p>
    <w:p w14:paraId="77B2E46F" w14:textId="77777777" w:rsidR="00233251" w:rsidRPr="00233251" w:rsidRDefault="00233251" w:rsidP="00233251">
      <w:pPr>
        <w:spacing w:after="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4F27242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0416123D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5DC673D8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156FC76" w14:textId="52E44CEA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CHARLES ALBERTO </w:t>
      </w:r>
    </w:p>
    <w:p w14:paraId="2120104A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61D9D0E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91F0871" w14:textId="77777777" w:rsidR="00233251" w:rsidRPr="00233251" w:rsidRDefault="00233251" w:rsidP="00233251">
      <w:pPr>
        <w:spacing w:after="16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56938F2C" w14:textId="77777777" w:rsidR="00233251" w:rsidRPr="00233251" w:rsidRDefault="00233251" w:rsidP="00233251">
      <w:pPr>
        <w:spacing w:after="16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5E866B2" w14:textId="77777777" w:rsidR="00233251" w:rsidRPr="00233251" w:rsidRDefault="00233251" w:rsidP="00233251">
      <w:pPr>
        <w:spacing w:after="16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FB8A117" w14:textId="77777777" w:rsidR="00233251" w:rsidRPr="00233251" w:rsidRDefault="00233251" w:rsidP="00233251">
      <w:pPr>
        <w:spacing w:after="16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908D4E3" w14:textId="77777777" w:rsidR="00233251" w:rsidRPr="00233251" w:rsidRDefault="00233251" w:rsidP="00233251">
      <w:pPr>
        <w:spacing w:after="16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02DBC0BD" w14:textId="7BF4A49E" w:rsidR="00233251" w:rsidRPr="00233251" w:rsidRDefault="00233251" w:rsidP="00233251">
      <w:pPr>
        <w:spacing w:after="60"/>
        <w:jc w:val="center"/>
        <w:rPr>
          <w:rFonts w:ascii="Arial" w:eastAsia="Arial" w:hAnsi="Arial" w:cs="Arial"/>
          <w:b/>
          <w:color w:val="000000"/>
          <w:sz w:val="28"/>
          <w:lang w:eastAsia="pt-BR"/>
        </w:rPr>
      </w:pPr>
      <w:r>
        <w:rPr>
          <w:rFonts w:ascii="Arial" w:eastAsia="Arial" w:hAnsi="Arial" w:cs="Arial"/>
          <w:b/>
          <w:color w:val="000000"/>
          <w:sz w:val="28"/>
          <w:lang w:eastAsia="pt-BR"/>
        </w:rPr>
        <w:t>PANDEMIA: MORTE EM MASSA E O DISCURSO DA IMORTALIDADE</w:t>
      </w:r>
    </w:p>
    <w:p w14:paraId="437DD5F2" w14:textId="77777777" w:rsidR="00233251" w:rsidRPr="00233251" w:rsidRDefault="00233251" w:rsidP="00233251">
      <w:pPr>
        <w:spacing w:after="60"/>
        <w:jc w:val="both"/>
        <w:rPr>
          <w:rFonts w:ascii="Arial" w:eastAsia="Arial" w:hAnsi="Arial" w:cs="Arial"/>
          <w:b/>
          <w:color w:val="000000"/>
          <w:sz w:val="28"/>
          <w:lang w:eastAsia="pt-BR"/>
        </w:rPr>
      </w:pPr>
    </w:p>
    <w:p w14:paraId="4D85831A" w14:textId="77777777" w:rsidR="00233251" w:rsidRPr="00233251" w:rsidRDefault="00233251" w:rsidP="00233251">
      <w:pPr>
        <w:spacing w:after="6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1603534A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89F055E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79DA591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5E56AEA" w14:textId="77777777" w:rsidR="00233251" w:rsidRPr="00233251" w:rsidRDefault="00233251" w:rsidP="00233251">
      <w:pPr>
        <w:spacing w:after="11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D43788A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073FE55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CF0BF32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AE3C378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ECEB86C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B85DB4D" w14:textId="77777777" w:rsidR="00233251" w:rsidRPr="00233251" w:rsidRDefault="00233251" w:rsidP="00233251">
      <w:pPr>
        <w:spacing w:after="112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593B1188" w14:textId="77777777" w:rsidR="00233251" w:rsidRPr="00233251" w:rsidRDefault="00233251" w:rsidP="00233251">
      <w:pPr>
        <w:spacing w:after="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A1C7249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color w:val="000000"/>
          <w:sz w:val="24"/>
          <w:lang w:eastAsia="pt-BR"/>
        </w:rPr>
        <w:t>Ananindeua - PA</w:t>
      </w:r>
    </w:p>
    <w:p w14:paraId="4059393B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color w:val="000000"/>
          <w:sz w:val="24"/>
          <w:lang w:eastAsia="pt-BR"/>
        </w:rPr>
        <w:t>2020</w:t>
      </w:r>
    </w:p>
    <w:p w14:paraId="39F556B0" w14:textId="77777777" w:rsidR="00233251" w:rsidRPr="00233251" w:rsidRDefault="00233251" w:rsidP="00233251">
      <w:pPr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color w:val="000000"/>
          <w:sz w:val="24"/>
          <w:lang w:eastAsia="pt-BR"/>
        </w:rPr>
        <w:br w:type="page"/>
      </w:r>
    </w:p>
    <w:p w14:paraId="140B7801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7077E94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58FC0CB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6E3FB18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3324AF45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164C4F5" w14:textId="75F9F852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CHARLES ALBERTO</w:t>
      </w:r>
    </w:p>
    <w:p w14:paraId="31E4AB25" w14:textId="77777777" w:rsidR="00233251" w:rsidRPr="00233251" w:rsidRDefault="00233251" w:rsidP="00233251">
      <w:pPr>
        <w:spacing w:after="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C867080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3C96B1F8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C365E44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CCB5B7A" w14:textId="77777777" w:rsidR="00233251" w:rsidRPr="00233251" w:rsidRDefault="00233251" w:rsidP="00233251">
      <w:pPr>
        <w:spacing w:after="118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30812C11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6844C5C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C724A7F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9F105DF" w14:textId="77777777" w:rsidR="00233251" w:rsidRPr="00233251" w:rsidRDefault="00233251" w:rsidP="00233251">
      <w:pPr>
        <w:spacing w:after="60"/>
        <w:jc w:val="center"/>
        <w:rPr>
          <w:rFonts w:ascii="Arial" w:eastAsia="Arial" w:hAnsi="Arial" w:cs="Arial"/>
          <w:b/>
          <w:color w:val="000000"/>
          <w:sz w:val="28"/>
          <w:lang w:eastAsia="pt-BR"/>
        </w:rPr>
      </w:pPr>
      <w:r>
        <w:rPr>
          <w:rFonts w:ascii="Arial" w:eastAsia="Arial" w:hAnsi="Arial" w:cs="Arial"/>
          <w:b/>
          <w:color w:val="000000"/>
          <w:sz w:val="28"/>
          <w:lang w:eastAsia="pt-BR"/>
        </w:rPr>
        <w:t>PANDEMIA: MORTE EM MASSA E O DISCURSO DA IMORTALIDADE</w:t>
      </w:r>
    </w:p>
    <w:p w14:paraId="47A0EB9D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037BBB15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3CC4CE53" w14:textId="77777777" w:rsidR="00233251" w:rsidRPr="00233251" w:rsidRDefault="00233251" w:rsidP="00233251">
      <w:pPr>
        <w:spacing w:after="117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52C1ABF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680AEDFF" w14:textId="28C7B560" w:rsidR="00233251" w:rsidRPr="00233251" w:rsidRDefault="00233251" w:rsidP="00233251">
      <w:pPr>
        <w:spacing w:after="60"/>
        <w:jc w:val="center"/>
        <w:rPr>
          <w:rFonts w:ascii="Arial" w:eastAsia="Arial" w:hAnsi="Arial" w:cs="Arial"/>
          <w:b/>
          <w:color w:val="000000"/>
          <w:sz w:val="28"/>
          <w:lang w:eastAsia="pt-BR"/>
        </w:rPr>
      </w:pPr>
    </w:p>
    <w:p w14:paraId="06593CF6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28845D5F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8FEBB3B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5F61CFB3" w14:textId="77777777" w:rsidR="00233251" w:rsidRPr="00233251" w:rsidRDefault="00233251" w:rsidP="00233251">
      <w:pPr>
        <w:spacing w:after="113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669FD3D" w14:textId="0F8BF41A" w:rsidR="00233251" w:rsidRPr="00233251" w:rsidRDefault="00233251" w:rsidP="00233251">
      <w:pPr>
        <w:tabs>
          <w:tab w:val="left" w:pos="1134"/>
          <w:tab w:val="left" w:pos="3230"/>
        </w:tabs>
        <w:spacing w:after="0" w:line="240" w:lineRule="auto"/>
        <w:ind w:left="4536" w:right="9" w:hanging="10"/>
        <w:jc w:val="both"/>
        <w:rPr>
          <w:rFonts w:ascii="Arial" w:eastAsia="Montserrat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</w:t>
      </w:r>
      <w:r w:rsidRPr="002332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pesquisa apresentado à Faculdade Católica de Belém, como requisito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332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avaliativo da disciplina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antropologia filosófica</w:t>
      </w:r>
      <w:r w:rsidRPr="002332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ministrad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2332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2332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Prof.ª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Charles Alberto. </w:t>
      </w:r>
    </w:p>
    <w:p w14:paraId="6B24E69F" w14:textId="77777777" w:rsidR="00233251" w:rsidRPr="00233251" w:rsidRDefault="00233251" w:rsidP="00233251">
      <w:pP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01B05D53" w14:textId="77777777" w:rsidR="00233251" w:rsidRPr="00233251" w:rsidRDefault="00233251" w:rsidP="00233251">
      <w:pPr>
        <w:spacing w:after="0"/>
        <w:ind w:left="4536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65F8DA7E" w14:textId="77777777" w:rsidR="00233251" w:rsidRPr="00233251" w:rsidRDefault="00233251" w:rsidP="00233251">
      <w:pPr>
        <w:spacing w:after="12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6E30D76" w14:textId="77777777" w:rsidR="00233251" w:rsidRPr="00233251" w:rsidRDefault="00233251" w:rsidP="00233251">
      <w:pPr>
        <w:spacing w:after="12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1F8831C0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6E949F9" w14:textId="77777777" w:rsidR="00233251" w:rsidRPr="00233251" w:rsidRDefault="00233251" w:rsidP="00233251">
      <w:pPr>
        <w:spacing w:after="115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EC7AA46" w14:textId="77777777" w:rsidR="00233251" w:rsidRPr="00233251" w:rsidRDefault="00233251" w:rsidP="00233251">
      <w:pPr>
        <w:spacing w:after="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4CDC30F2" w14:textId="77777777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color w:val="000000"/>
          <w:sz w:val="24"/>
          <w:lang w:eastAsia="pt-BR"/>
        </w:rPr>
        <w:t xml:space="preserve">Ananindeua - PA </w:t>
      </w:r>
    </w:p>
    <w:p w14:paraId="364E94F2" w14:textId="3FA47CA2" w:rsidR="00233251" w:rsidRPr="00233251" w:rsidRDefault="00233251" w:rsidP="00233251">
      <w:pPr>
        <w:spacing w:after="3"/>
        <w:ind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2020</w:t>
      </w:r>
    </w:p>
    <w:p w14:paraId="4C17D0F2" w14:textId="77777777" w:rsidR="00233251" w:rsidRDefault="00233251" w:rsidP="002332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1.0 </w:t>
      </w:r>
      <w:r w:rsidRPr="00A67529">
        <w:rPr>
          <w:rFonts w:ascii="Arial" w:hAnsi="Arial" w:cs="Arial"/>
          <w:b/>
          <w:bCs/>
          <w:sz w:val="24"/>
          <w:szCs w:val="24"/>
        </w:rPr>
        <w:t xml:space="preserve">INTRODUÇÃO </w:t>
      </w:r>
    </w:p>
    <w:p w14:paraId="48B7A775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Este presente trabalho buscará em seu decorrer analisar o atual cenário em que estamos vivendo em decorrência da pandemia causada pelo vírus Covid-19. Esta análise terá como foco principal os discursos políticos, científicos, econômicos, morais e culturais que cercam as discussões acerca da pandemia. Muitos desses discursos buscam minimizar as consequências da pandemia e naturalizar a morte de mais de 100 mil pessoas. Por isso, tendo como base teórica Batista Mondin e pensadores filosóficos expostos por ele, iremos buscar compreender em quê correntes filosóficas esses discursos se alicerçam e como - através do discurso de “grupo de risco” - eles buscam naturalizar a morte de mais de 100 mil pessoas.</w:t>
      </w:r>
    </w:p>
    <w:p w14:paraId="48A021A6" w14:textId="77777777" w:rsidR="00233251" w:rsidRPr="005D5173" w:rsidRDefault="00233251" w:rsidP="00233251">
      <w:pPr>
        <w:spacing w:line="36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Outro ponto que iremos abordar em nosso trabalho é o sentido da morte e a possível imortalidade do homem. Para isso iremos expor as duas tendências filosóficas em que pensadores de dividiram ao longo dos séculos quando tentaram explicar o sentido da morte e qual seu significado para o homem. A primeira corrente filosófica é a niilista, em que seus simpatizantes defendem que a morte é o fim total do homem, pois para eles a existência do homem não possui qualquer finalidade ou sentido. Opostos a esses pensamentos encontra-se os não- niilistas, que defendem que a morte não assinala o fim total do homem, mas </w:t>
      </w:r>
      <w:r w:rsidRPr="005D5173">
        <w:rPr>
          <w:rFonts w:ascii="Arial" w:hAnsi="Arial" w:cs="Arial"/>
          <w:sz w:val="24"/>
          <w:szCs w:val="24"/>
        </w:rPr>
        <w:t xml:space="preserve">apenas no sentido físico, mantendo sua alma intacta.  Para abordar essas duas correntes filosóficas - niilistas e não-niilistas - nos delimitaremos á dois pensadores de cada corrente filosófica. </w:t>
      </w:r>
      <w:r w:rsidRPr="005D517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Martin Heidegger e Jean-Paul Charles Sartre com a corrente niilista e São Tomaz de Aquino e Santo Agostinho foram escolhidos para expor os pensamentos não-niilistas. </w:t>
      </w:r>
    </w:p>
    <w:p w14:paraId="4237B798" w14:textId="77777777" w:rsidR="00233251" w:rsidRPr="006F21D8" w:rsidRDefault="00233251" w:rsidP="00233251">
      <w:pPr>
        <w:spacing w:line="360" w:lineRule="auto"/>
        <w:jc w:val="both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p w14:paraId="6E8B1756" w14:textId="77777777" w:rsidR="00233251" w:rsidRPr="006F21D8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21D8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2.0 NARURALIZAÇÃO DAS MORTES</w:t>
      </w:r>
    </w:p>
    <w:p w14:paraId="690B2544" w14:textId="77777777" w:rsidR="00233251" w:rsidRPr="007370F0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70F0">
        <w:rPr>
          <w:rFonts w:ascii="Arial" w:hAnsi="Arial" w:cs="Arial"/>
          <w:b/>
          <w:bCs/>
          <w:sz w:val="24"/>
          <w:szCs w:val="24"/>
        </w:rPr>
        <w:t>2.1 DEFINIÇÃO DE MORTE</w:t>
      </w:r>
    </w:p>
    <w:p w14:paraId="6BA1989D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morte pode ser compreendida de várias maneiras dependendo de vários fatores, pois, a concepção dela ocorre sobre influências culturais (religiosa ou não), social e econômicas. Porém, para que não ocorra um prolongamento a cerca desse assunto, iremos nos atentar a três concepções: universal, biológica e filosófica. Em seu sentido universal, logo o mais amplo, segundo Mondin (1980, </w:t>
      </w:r>
      <w:r>
        <w:rPr>
          <w:rFonts w:ascii="Arial" w:hAnsi="Arial" w:cs="Arial"/>
          <w:sz w:val="24"/>
          <w:szCs w:val="24"/>
        </w:rPr>
        <w:lastRenderedPageBreak/>
        <w:t>pag. 301) “é a cessação do processo vital em um organismo vivo”. Já no seu sentido biológico, a</w:t>
      </w:r>
      <w:r w:rsidRPr="005A6795">
        <w:rPr>
          <w:rFonts w:ascii="Arial" w:hAnsi="Arial" w:cs="Arial"/>
          <w:sz w:val="24"/>
          <w:szCs w:val="24"/>
        </w:rPr>
        <w:t xml:space="preserve"> morte é o processo irreversível de perda da atividade altamente organizadas que caracteriza vida.</w:t>
      </w:r>
      <w:r>
        <w:rPr>
          <w:rFonts w:ascii="Arial" w:hAnsi="Arial" w:cs="Arial"/>
          <w:sz w:val="24"/>
          <w:szCs w:val="24"/>
        </w:rPr>
        <w:t xml:space="preserve"> Uma terceira definição de morte é a filosófica, a qual a define como “a separação da alma do corpo (MONDIN, 1980). </w:t>
      </w:r>
    </w:p>
    <w:p w14:paraId="3168A2FE" w14:textId="77777777" w:rsidR="00233251" w:rsidRPr="00D4242F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41A9BE" w14:textId="77777777" w:rsidR="00233251" w:rsidRPr="00D4242F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242F">
        <w:rPr>
          <w:rFonts w:ascii="Arial" w:hAnsi="Arial" w:cs="Arial"/>
          <w:b/>
          <w:bCs/>
          <w:sz w:val="24"/>
          <w:szCs w:val="24"/>
        </w:rPr>
        <w:t>2.2 O INTENCIONADO DISCURSO DO GRUPO DE RISCO</w:t>
      </w:r>
    </w:p>
    <w:p w14:paraId="70198BBA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Logo no início da pandemia surgiram discursos não só científicos, mas sobretudo político-ideológico determinado que havia algumas pessoas que estariam mais propensas a adquirir o vírus covid- 19 e estariam, consequentemente, mais vulneráveis a irem a óbito. Esse discurso perdura até hoje e ele foi e ainda é motivos de discussões. esse tipo de discurso é muito criticado pela comunidade psicológica e de direitos humanos, uma vez que eles produzem estigmatizam pessoas e grupo sociais. Ademais, eles expõem essas pessoas e esses grupos a um processo de exclusão e culpabilização social. </w:t>
      </w:r>
    </w:p>
    <w:p w14:paraId="1F125722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A570DF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60C9">
        <w:rPr>
          <w:rFonts w:ascii="Arial" w:hAnsi="Arial" w:cs="Arial"/>
          <w:b/>
          <w:bCs/>
          <w:sz w:val="24"/>
          <w:szCs w:val="24"/>
        </w:rPr>
        <w:t xml:space="preserve"> 2.2.1 CONSEQUÊNCIAS DA ESTIGMATIZAÇÃO DE INDIVÍDUOS E GRUPOS</w:t>
      </w:r>
    </w:p>
    <w:p w14:paraId="6EE7D35B" w14:textId="11299121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partir do momento e que se cria essa estatização com o discurso de que tal grupo ou indivíduos são mais vulneráveis a contrair o vírus e irem a óbito, propaga-se uma mentalidade nas pessoas de que a morte dos mesmos é algo esperado e que eles estavam sujeitos a esse fim. Esse discurso muitas vezes defendido pelo presidente do Estado ao afirmar em entrevista ao apresentador José Luiz Datena “vamos enfrentar o vírus. Vai chegar, vai passar. Infelizmente algumas mortes terão, paciência, acontece, e vamos tocar o barco”. Esse discurso também “comprado” pelos seus apoiadores assemelha-se ao discurso de alguns filósofos existencialistas, coo por exemplo  Heidegger que defendia que  “a morte pertence a estrutura fundamental do homem, é um existencial; não é algo longínqua, mas constantemente presente “(apud MONDIN : BATISTA, 1980, p. 307) .</w:t>
      </w:r>
    </w:p>
    <w:p w14:paraId="4EA43AAD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Outra consequência desse discurso é a culpabilização desses grupos e uma exclusão em certos momentos. Esses dois fatores ficam muito visível quando algumas pessoas do atual governo federal defenderam o “isolamento vertical”. Nesse tipo de isolamento apenas as pessoas e grupo socias pertencentes ao “grupo de risco” ficariam de quarentena, os demais estariam aptos a voltarem as suas atividades “normais”.  Com esse discurso, pessoas que se consideram fora do grupo de risco tem a pseudo percepção que estão imunes ao vírus, enquanto os de grupo de risco acham que a pandemia pertence só a eles. </w:t>
      </w:r>
    </w:p>
    <w:p w14:paraId="0D6BD8FD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02917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30B5">
        <w:rPr>
          <w:rFonts w:ascii="Arial" w:hAnsi="Arial" w:cs="Arial"/>
          <w:b/>
          <w:bCs/>
          <w:sz w:val="24"/>
          <w:szCs w:val="24"/>
        </w:rPr>
        <w:t xml:space="preserve">3.0 IMORTALIDADE DA ALMA  </w:t>
      </w:r>
    </w:p>
    <w:p w14:paraId="52E546A0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 DIFERENTES CONCEPÇÕES </w:t>
      </w:r>
    </w:p>
    <w:p w14:paraId="40D337ED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 discussões sobre a mortalidade ou imortalidade da alma perdura desde os primeiros filósofos da era socrática e ganhou grande importância na idade média com o aparecimento da filosofia cristã e consequentemente a patrística e escolástica. Porém esses dois períodos não foram suficientes para chegar a um concesso -e nem chegará pois os diferentes pontos de vista fazem-se necessário na filosofia- por isso até a filosofia moderna discute-se sobre essa questão. Atualmente os filósofos que discutem esse assunto dividem-se em duas vertentes: a niilista e não- niilista. Os filósofos da vertente niilista não acreditam na imortalidade da alma, pois segundo Mondin (1980, p. 307) “a morte é o fim total do homem e de toda a sua realidade psicossomática”. Já os não-niilistas não acreditam que a morte seja o fim total do homem, mas apenas a separação do corpo da alma. </w:t>
      </w:r>
    </w:p>
    <w:p w14:paraId="021543BC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D44576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2514">
        <w:rPr>
          <w:rFonts w:ascii="Arial" w:hAnsi="Arial" w:cs="Arial"/>
          <w:b/>
          <w:bCs/>
          <w:sz w:val="24"/>
          <w:szCs w:val="24"/>
        </w:rPr>
        <w:t xml:space="preserve">3.2 NIILISTAS </w:t>
      </w:r>
    </w:p>
    <w:p w14:paraId="5E798241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citado acima, os niilistas acreditam que a morte é o fim total do homem. Um dos seus defensores é o filósofo Martin Heidegger, pois para ele a morte limita e determina a totalidade do homem enquanto Ser uma vez que ela faz parte da essência dele. Acrescenta ainda Heidegger que (apud MONDIN: BATISTA, 1980,P.308) “como a fruta é mantida junto da casca que a limita, assim </w:t>
      </w:r>
      <w:r>
        <w:rPr>
          <w:rFonts w:ascii="Arial" w:hAnsi="Arial" w:cs="Arial"/>
          <w:sz w:val="24"/>
          <w:szCs w:val="24"/>
        </w:rPr>
        <w:lastRenderedPageBreak/>
        <w:t>também a vida humana se torna um todo somente mediante a morte que a delimita, a enforma, a preserva do desnaturar-se. Apenas a morte permite ao homem ser realizado”. Outro filosofo niilista é Sartre. Ele diz que a morte é nada mais que um aspecto da fatualidade, ou seja, nada mais que uma realidade dada ao Ser desde a sua concepção.  Para ele é um absurdo o nascimento do homem, torna-se um absurdo a sua morte também. Acrescenta ainda que “é, portanto, um limite permanente dos meus projetos e, como tal, esse limite desse ser assumido.</w:t>
      </w:r>
    </w:p>
    <w:p w14:paraId="7686E5E5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E817F" w14:textId="77777777" w:rsidR="00233251" w:rsidRPr="005E5FD4" w:rsidRDefault="00233251" w:rsidP="00233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5FD4">
        <w:rPr>
          <w:rFonts w:ascii="Arial" w:hAnsi="Arial" w:cs="Arial"/>
          <w:b/>
          <w:bCs/>
          <w:sz w:val="24"/>
          <w:szCs w:val="24"/>
        </w:rPr>
        <w:t xml:space="preserve">3.2 NÃO-NIILISTAS </w:t>
      </w:r>
    </w:p>
    <w:p w14:paraId="032AAFFE" w14:textId="77777777" w:rsidR="00233251" w:rsidRDefault="00233251" w:rsidP="002332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EC3D38">
        <w:rPr>
          <w:rFonts w:ascii="Arial" w:hAnsi="Arial" w:cs="Arial"/>
          <w:sz w:val="24"/>
          <w:szCs w:val="24"/>
        </w:rPr>
        <w:t xml:space="preserve">Opondo-se a Heidegger e Sartre temos </w:t>
      </w:r>
      <w:r>
        <w:rPr>
          <w:rFonts w:ascii="Arial" w:hAnsi="Arial" w:cs="Arial"/>
          <w:sz w:val="24"/>
          <w:szCs w:val="24"/>
        </w:rPr>
        <w:t xml:space="preserve">Santo gostinho e São Tomaz de Aquino. Esses dois filósofos cristãos da idade média “beberam” na fonte de Sócrates e seus discípulos Aristóteles e Platão para defender que a morte não é o fim o fim total do homem, mas apenas a separação do corpo da alma, defendo assim a imortalidade da alma humana. Para Mondin (1980, p. 303): </w:t>
      </w:r>
    </w:p>
    <w:p w14:paraId="17AE685C" w14:textId="77777777" w:rsidR="00233251" w:rsidRPr="007164AC" w:rsidRDefault="00233251" w:rsidP="00233251">
      <w:pPr>
        <w:spacing w:before="100" w:beforeAutospacing="1" w:after="0" w:line="240" w:lineRule="auto"/>
        <w:ind w:left="2268" w:firstLine="564"/>
        <w:jc w:val="both"/>
        <w:rPr>
          <w:rFonts w:ascii="Arial" w:hAnsi="Arial" w:cs="Arial"/>
          <w:sz w:val="24"/>
          <w:szCs w:val="24"/>
        </w:rPr>
      </w:pPr>
      <w:r w:rsidRPr="00C7020C">
        <w:rPr>
          <w:rFonts w:ascii="Arial" w:hAnsi="Arial" w:cs="Arial"/>
          <w:sz w:val="20"/>
          <w:szCs w:val="20"/>
        </w:rPr>
        <w:t xml:space="preserve">Agostinho deixou-nos a famosa formulação deste argumento: ‘a alma atinge a verdade no conhecimento intelectivo. Ora, enquanto sede da verdade, a alma é imortal do mesmo modo que a verdade. De fato, se o que se acha em um sujeito é eternamente duradouro, é necessário que o próprio sujeito seja eternamente duradouro. Mas, dado que a ciência reside sempre em um sujeito, é necessário que a alma dure para sempre, caso também a ciência dure para sempre. Mas dado que a ciência é verdade e a verdade dure para sempre, também a alma dura para sempre e não se poderá jamais dizer que ela morre’. </w:t>
      </w:r>
    </w:p>
    <w:p w14:paraId="18E65709" w14:textId="77777777" w:rsidR="00233251" w:rsidRPr="00EC3D38" w:rsidRDefault="00233251" w:rsidP="00233251">
      <w:pPr>
        <w:spacing w:line="240" w:lineRule="auto"/>
        <w:rPr>
          <w:rFonts w:ascii="Arial" w:hAnsi="Arial" w:cs="Arial"/>
          <w:sz w:val="24"/>
          <w:szCs w:val="24"/>
        </w:rPr>
      </w:pPr>
    </w:p>
    <w:p w14:paraId="57A5B4EE" w14:textId="5418A53E" w:rsidR="00233251" w:rsidRDefault="00233251" w:rsidP="002332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82445">
        <w:rPr>
          <w:rFonts w:ascii="Arial" w:hAnsi="Arial" w:cs="Arial"/>
          <w:sz w:val="24"/>
          <w:szCs w:val="24"/>
        </w:rPr>
        <w:t>Partindo da mesma ideia, São Tom</w:t>
      </w:r>
      <w:r>
        <w:rPr>
          <w:rFonts w:ascii="Arial" w:hAnsi="Arial" w:cs="Arial"/>
          <w:sz w:val="24"/>
          <w:szCs w:val="24"/>
        </w:rPr>
        <w:t>ás</w:t>
      </w:r>
      <w:r w:rsidRPr="00E82445">
        <w:rPr>
          <w:rFonts w:ascii="Arial" w:hAnsi="Arial" w:cs="Arial"/>
          <w:sz w:val="24"/>
          <w:szCs w:val="24"/>
        </w:rPr>
        <w:t xml:space="preserve"> de Aquino vai dizer que a operação intelectiva se realiza sem o curso essencial do organismo corpóreo, ou seja, independe dele, isso implica dizer que a alma, sendo dotada de ação autônoma, é possuidora de seu próprio ato de ser. Já que esse a</w:t>
      </w:r>
      <w:r>
        <w:rPr>
          <w:rFonts w:ascii="Arial" w:hAnsi="Arial" w:cs="Arial"/>
          <w:sz w:val="24"/>
          <w:szCs w:val="24"/>
        </w:rPr>
        <w:t>t</w:t>
      </w:r>
      <w:r w:rsidRPr="00E82445">
        <w:rPr>
          <w:rFonts w:ascii="Arial" w:hAnsi="Arial" w:cs="Arial"/>
          <w:sz w:val="24"/>
          <w:szCs w:val="24"/>
        </w:rPr>
        <w:t xml:space="preserve">o se situa </w:t>
      </w:r>
      <w:r>
        <w:rPr>
          <w:rFonts w:ascii="Arial" w:hAnsi="Arial" w:cs="Arial"/>
          <w:sz w:val="24"/>
          <w:szCs w:val="24"/>
        </w:rPr>
        <w:t xml:space="preserve">na esfera espiritual, a alma torna-se incorruptível e imortal, não podendo, portanto, ser contagiada pela morte do corpo.  “mas para provar a imortalidade da alma S. Tomás recorre muito frequentemente também a um outro argumento, o do desejo natural que cada homem possui de não morrer, um desejo que não pode ser vão” (MONDIN, 1980). </w:t>
      </w:r>
    </w:p>
    <w:p w14:paraId="0B1B054D" w14:textId="77777777" w:rsidR="00233251" w:rsidRDefault="00233251" w:rsidP="002332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71199" w14:textId="77777777" w:rsidR="00233251" w:rsidRDefault="00233251" w:rsidP="002332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5ADE04" w14:textId="77777777" w:rsidR="00233251" w:rsidRDefault="00233251" w:rsidP="002332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68BD">
        <w:rPr>
          <w:rFonts w:ascii="Arial" w:hAnsi="Arial" w:cs="Arial"/>
          <w:b/>
          <w:bCs/>
          <w:sz w:val="24"/>
          <w:szCs w:val="24"/>
        </w:rPr>
        <w:lastRenderedPageBreak/>
        <w:t>4.0 CONCLUSÃO</w:t>
      </w:r>
    </w:p>
    <w:p w14:paraId="23042B94" w14:textId="77777777" w:rsidR="00233251" w:rsidRDefault="00233251" w:rsidP="002332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08846F" w14:textId="0894DEE9" w:rsidR="00233251" w:rsidRDefault="00233251" w:rsidP="002332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constante defesa de alguns grupos políticos-ideológico de um discurso de “grupo de risco” teve desde o início o intuito de naturalizar as mortes dessas pessoas, pois ao passo que os números de óbitos cresciam, esses defensores justificam que já era algo esperado, banalizando a vida assim dessas pessoas para não assumirem suas responsabilidades diante de suas atitudes não só fracassadas, mas ouso dizer catastróficas em combate a pandemia do Covid- 19. Esse intuito ficou muito visível quando o chefe do Estado, Jair Bolsonaro defendeu em rede pública o isolamento vertical, que abrangeria apenas as pessoas do “grupo de risco”. Tal posicionamento menosprezava a vida humana em prol da retomada da economia brasileira.</w:t>
      </w:r>
    </w:p>
    <w:p w14:paraId="4BCD94F4" w14:textId="77777777" w:rsidR="00233251" w:rsidRPr="00520409" w:rsidRDefault="00233251" w:rsidP="002332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ponto abordado no presente trabalho foi sobre a imortalidade ou não da alma. Expomos duas formas que se opõe no pensamento filosófico. Os niilistas representados pelos existencialistas Heidegger e Sartre defendem que a morte representa o fim total do homem e que ela faz parte da natureza dele e desde sempre ele está propicio a morrer, pois assim como sua concepção é algo repentino, assim também é sua morte. Já os não-niilistas representados pelos filósofos cristãos São Tomás de Aquino e Santo agostinho defendiam que a morte não é o fim total do homem, mas somente a separação da alma do corpo. Para eles a alma não pode ser mortal por dois motivos: o primeiro é que, segundo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Santo Agostinho a alma concebe a verdade, sendo a verdade algo imortal logo seu receptor tende a ser também imortal. O segundo argumento é de S. Tomás, que acredita que o ato de operação intelectiva realizado pela alma para conceber a verdade independe do organismo corpóreo, portanto a morte ou interrupção do estado corpóreo não atingiria a alam, sendo esta independente. </w:t>
      </w:r>
    </w:p>
    <w:p w14:paraId="28D82D95" w14:textId="77777777" w:rsidR="00233251" w:rsidRPr="002164E9" w:rsidRDefault="00233251" w:rsidP="0023325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5977E9" w14:textId="77777777" w:rsidR="00233251" w:rsidRDefault="00233251" w:rsidP="0023325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F45F6">
        <w:rPr>
          <w:rFonts w:ascii="Arial" w:hAnsi="Arial" w:cs="Arial"/>
          <w:b/>
          <w:bCs/>
          <w:sz w:val="24"/>
          <w:szCs w:val="24"/>
        </w:rPr>
        <w:t xml:space="preserve">5.0 BIBLIOGRAFIA </w:t>
      </w:r>
    </w:p>
    <w:p w14:paraId="6B59E3C2" w14:textId="77777777" w:rsidR="00233251" w:rsidRPr="00C939FE" w:rsidRDefault="00233251" w:rsidP="002332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1106">
        <w:rPr>
          <w:rFonts w:ascii="Arial" w:hAnsi="Arial" w:cs="Arial"/>
          <w:b/>
          <w:bCs/>
          <w:sz w:val="24"/>
          <w:szCs w:val="24"/>
        </w:rPr>
        <w:t xml:space="preserve">o homem: quem é </w:t>
      </w:r>
      <w:proofErr w:type="gramStart"/>
      <w:r w:rsidRPr="00B91106">
        <w:rPr>
          <w:rFonts w:ascii="Arial" w:hAnsi="Arial" w:cs="Arial"/>
          <w:b/>
          <w:bCs/>
          <w:sz w:val="24"/>
          <w:szCs w:val="24"/>
        </w:rPr>
        <w:t>ele?:</w:t>
      </w:r>
      <w:proofErr w:type="gramEnd"/>
      <w:r w:rsidRPr="00B91106">
        <w:rPr>
          <w:rFonts w:ascii="Arial" w:hAnsi="Arial" w:cs="Arial"/>
          <w:b/>
          <w:bCs/>
          <w:sz w:val="24"/>
          <w:szCs w:val="24"/>
        </w:rPr>
        <w:t xml:space="preserve"> elementos da antropologia filosófica</w:t>
      </w:r>
      <w:r w:rsidRPr="00C939FE">
        <w:rPr>
          <w:rFonts w:ascii="Arial" w:hAnsi="Arial" w:cs="Arial"/>
          <w:sz w:val="24"/>
          <w:szCs w:val="24"/>
        </w:rPr>
        <w:t>. MONDIN, Batista</w:t>
      </w:r>
      <w:r>
        <w:rPr>
          <w:rFonts w:ascii="Arial" w:hAnsi="Arial" w:cs="Arial"/>
          <w:sz w:val="24"/>
          <w:szCs w:val="24"/>
        </w:rPr>
        <w:t>. São Paulo: edições paulinas, 1980.</w:t>
      </w:r>
    </w:p>
    <w:p w14:paraId="72837991" w14:textId="77777777" w:rsidR="00233251" w:rsidRDefault="00233251" w:rsidP="00233251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8DBA5B0" w14:textId="77777777" w:rsidR="00233251" w:rsidRPr="002D0BDF" w:rsidRDefault="00233251" w:rsidP="0023325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t xml:space="preserve"> </w:t>
      </w:r>
      <w:r w:rsidRPr="00911215">
        <w:rPr>
          <w:rFonts w:ascii="Arial" w:hAnsi="Arial" w:cs="Arial"/>
          <w:sz w:val="24"/>
          <w:szCs w:val="24"/>
        </w:rPr>
        <w:t xml:space="preserve">VASCONCELOS, Renato. O que Bolsonaro falou até agora? </w:t>
      </w:r>
      <w:r w:rsidRPr="002D0BDF">
        <w:rPr>
          <w:rFonts w:ascii="Arial" w:hAnsi="Arial" w:cs="Arial"/>
          <w:b/>
          <w:bCs/>
          <w:sz w:val="24"/>
          <w:szCs w:val="24"/>
        </w:rPr>
        <w:t>O Estado de São Paulo</w:t>
      </w:r>
      <w:r>
        <w:rPr>
          <w:rFonts w:ascii="Arial" w:hAnsi="Arial" w:cs="Arial"/>
          <w:sz w:val="24"/>
          <w:szCs w:val="24"/>
        </w:rPr>
        <w:t>, 2020. Disponível em:</w:t>
      </w:r>
      <w:r>
        <w:t xml:space="preserve"> </w:t>
      </w:r>
      <w:hyperlink r:id="rId5" w:history="1">
        <w:r w:rsidRPr="00384834">
          <w:rPr>
            <w:rStyle w:val="Hyperlink"/>
          </w:rPr>
          <w:t>https://politica.estadao.com.br/noticias/geral,coronavirus-o-que-bolsonaro-ja-falou-ate-agora-sobre-a-pandemia,70003234776/</w:t>
        </w:r>
      </w:hyperlink>
      <w:r>
        <w:t xml:space="preserve"> </w:t>
      </w:r>
      <w:r w:rsidRPr="002D0BDF">
        <w:rPr>
          <w:rFonts w:ascii="Arial" w:hAnsi="Arial" w:cs="Arial"/>
          <w:sz w:val="24"/>
          <w:szCs w:val="24"/>
        </w:rPr>
        <w:t xml:space="preserve">acesso em 07 de Outubro de 2020, as 09:34. </w:t>
      </w:r>
    </w:p>
    <w:p w14:paraId="7FB4EA5E" w14:textId="77777777" w:rsidR="00233251" w:rsidRPr="00233251" w:rsidRDefault="00233251" w:rsidP="00233251">
      <w:pPr>
        <w:rPr>
          <w:rFonts w:ascii="Arial" w:eastAsia="Arial" w:hAnsi="Arial" w:cs="Arial"/>
          <w:color w:val="000000"/>
          <w:sz w:val="24"/>
          <w:lang w:eastAsia="pt-BR"/>
        </w:rPr>
      </w:pPr>
      <w:r w:rsidRPr="00233251">
        <w:rPr>
          <w:rFonts w:ascii="Arial" w:eastAsia="Arial" w:hAnsi="Arial" w:cs="Arial"/>
          <w:color w:val="000000"/>
          <w:sz w:val="24"/>
          <w:lang w:eastAsia="pt-BR"/>
        </w:rPr>
        <w:lastRenderedPageBreak/>
        <w:br w:type="page"/>
      </w:r>
    </w:p>
    <w:p w14:paraId="7D4EFFEC" w14:textId="77777777" w:rsidR="00233251" w:rsidRDefault="00233251"/>
    <w:sectPr w:rsidR="00233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51"/>
    <w:rsid w:val="00233251"/>
    <w:rsid w:val="007E3FC9"/>
    <w:rsid w:val="008B2D84"/>
    <w:rsid w:val="00C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2940"/>
  <w15:chartTrackingRefBased/>
  <w15:docId w15:val="{A21E4396-9AAB-4B81-B8E0-0EE00B4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itica.estadao.com.br/noticias/geral,coronavirus-o-que-bolsonaro-ja-falou-ate-agora-sobre-a-pandemia,70003234776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1698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Seminaristas - Seminário Paulo VI</dc:creator>
  <cp:keywords/>
  <dc:description/>
  <cp:lastModifiedBy>Charles</cp:lastModifiedBy>
  <cp:revision>2</cp:revision>
  <dcterms:created xsi:type="dcterms:W3CDTF">2020-09-10T13:45:00Z</dcterms:created>
  <dcterms:modified xsi:type="dcterms:W3CDTF">2020-09-10T13:45:00Z</dcterms:modified>
</cp:coreProperties>
</file>